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941A72" w14:textId="40DA7260" w:rsidR="00DA3725" w:rsidRDefault="00DA3725" w:rsidP="007A6DBB">
      <w:pPr>
        <w:jc w:val="center"/>
        <w:rPr>
          <w:b/>
          <w:bCs/>
          <w:lang w:val="pt-BR"/>
        </w:rPr>
      </w:pPr>
      <w:r>
        <w:rPr>
          <w:b/>
          <w:bCs/>
          <w:lang w:val="pt-BR"/>
        </w:rPr>
        <w:t>TESTEMUNHO DE DAN (DANIEL) JOHNSON</w:t>
      </w:r>
    </w:p>
    <w:p w14:paraId="56842A7D" w14:textId="77777777" w:rsidR="00DA3725" w:rsidRDefault="00DA3725" w:rsidP="007A6DBB">
      <w:pPr>
        <w:jc w:val="center"/>
        <w:rPr>
          <w:b/>
          <w:bCs/>
          <w:lang w:val="pt-BR"/>
        </w:rPr>
      </w:pPr>
    </w:p>
    <w:p w14:paraId="45054C91" w14:textId="0673F266" w:rsidR="00787BA8" w:rsidRPr="00787BA8" w:rsidRDefault="00067E35" w:rsidP="007A6DBB">
      <w:pPr>
        <w:jc w:val="center"/>
        <w:rPr>
          <w:b/>
          <w:bCs/>
          <w:lang w:val="pt-BR"/>
        </w:rPr>
      </w:pPr>
      <w:r>
        <w:rPr>
          <w:b/>
          <w:bCs/>
          <w:lang w:val="pt-BR"/>
        </w:rPr>
        <w:t>Razão Por Que Abandonei o C</w:t>
      </w:r>
      <w:r w:rsidR="00787BA8" w:rsidRPr="00787BA8">
        <w:rPr>
          <w:b/>
          <w:bCs/>
          <w:lang w:val="pt-BR"/>
        </w:rPr>
        <w:t>alvinismo</w:t>
      </w:r>
    </w:p>
    <w:p w14:paraId="68853742" w14:textId="77777777" w:rsidR="00787BA8" w:rsidRDefault="00787BA8" w:rsidP="007A6DBB">
      <w:pPr>
        <w:jc w:val="center"/>
        <w:rPr>
          <w:b/>
          <w:bCs/>
          <w:lang w:val="pt-BR"/>
        </w:rPr>
      </w:pPr>
    </w:p>
    <w:p w14:paraId="4D5A6D32" w14:textId="5EB223D4" w:rsidR="00787BA8" w:rsidRDefault="00787BA8" w:rsidP="00787BA8">
      <w:pPr>
        <w:jc w:val="both"/>
        <w:rPr>
          <w:lang w:val="pt-BR"/>
        </w:rPr>
      </w:pPr>
      <w:r w:rsidRPr="00787BA8">
        <w:rPr>
          <w:lang w:val="pt-BR"/>
        </w:rPr>
        <w:t>Quando cheguei ao Brasil como missionário, em 1974, eu era um calvinista de dois pontos. Isso acontecia porque eu não sabia realmente o que o calvinismo ensinava e também era um papagaio, repetindo o que eu tinha lido e ouvido. Nunca tinha estudado o assunto por mim mesmo.</w:t>
      </w:r>
    </w:p>
    <w:p w14:paraId="14144A61" w14:textId="77777777" w:rsidR="00787BA8" w:rsidRDefault="00787BA8" w:rsidP="00787BA8">
      <w:pPr>
        <w:jc w:val="both"/>
        <w:rPr>
          <w:lang w:val="pt-BR"/>
        </w:rPr>
      </w:pPr>
    </w:p>
    <w:p w14:paraId="7279D02D" w14:textId="1A8A8296" w:rsidR="00787BA8" w:rsidRDefault="00787BA8" w:rsidP="00787BA8">
      <w:pPr>
        <w:jc w:val="both"/>
        <w:rPr>
          <w:lang w:val="pt-BR"/>
        </w:rPr>
      </w:pPr>
      <w:r>
        <w:rPr>
          <w:lang w:val="pt-BR"/>
        </w:rPr>
        <w:t>Em 1998, vinte e quatro anos depois, fui forçado a defender minha posição por causa de um pastor da região que estava ensinando o calvinismo. Estudei os dois lados por mim mesmo, verificando o que a Bíblia realmente estava dizendo. Queria deixar a Bíblia me ensinar, em vez de aceitar o que as pessoas diziam que ela significava. Procurei encontrar todos os versículos que tratavam dessas questões, em vez de me concentrar em versículos isolados que, conforme percebi, haviam sido tirados de seu contexto.</w:t>
      </w:r>
    </w:p>
    <w:p w14:paraId="42240655" w14:textId="77777777" w:rsidR="00B14637" w:rsidRDefault="00B14637" w:rsidP="00787BA8">
      <w:pPr>
        <w:jc w:val="both"/>
        <w:rPr>
          <w:lang w:val="pt-BR"/>
        </w:rPr>
      </w:pPr>
    </w:p>
    <w:p w14:paraId="476AF45D" w14:textId="4AA5B59F" w:rsidR="00F06BD1" w:rsidRDefault="00F06BD1" w:rsidP="00787BA8">
      <w:pPr>
        <w:jc w:val="both"/>
        <w:rPr>
          <w:lang w:val="pt-BR"/>
        </w:rPr>
      </w:pPr>
      <w:r>
        <w:rPr>
          <w:lang w:val="pt-BR"/>
        </w:rPr>
        <w:t>No ano seguinte, em 1999, houve uma troca de correspondência com o pastor calvinista. Ele me mandou cerca de 50 perguntas sobre o calvinismo para responder.</w:t>
      </w:r>
    </w:p>
    <w:p w14:paraId="6B909E07" w14:textId="77777777" w:rsidR="00F06BD1" w:rsidRDefault="00F06BD1" w:rsidP="00787BA8">
      <w:pPr>
        <w:jc w:val="both"/>
        <w:rPr>
          <w:lang w:val="pt-BR"/>
        </w:rPr>
      </w:pPr>
    </w:p>
    <w:p w14:paraId="503CAD4D" w14:textId="1F1A5D71" w:rsidR="00787BA8" w:rsidRDefault="001C5544" w:rsidP="00DA3725">
      <w:pPr>
        <w:jc w:val="both"/>
        <w:rPr>
          <w:b/>
          <w:bCs/>
          <w:lang w:val="pt-BR"/>
        </w:rPr>
      </w:pPr>
      <w:r>
        <w:rPr>
          <w:lang w:val="pt-BR"/>
        </w:rPr>
        <w:t>O resultado do meu estudo mudou completamente minha percepção do calvinismo, da sabedoria de Deus, da eleição e da predestinação, para mencionar alguns temas. Não era mais um papagaio, mas um pesquisador que chegava às próprias conclusões. Então, escrevi uma série de estudos chamada Calvinismo à Luz da Bíblia.</w:t>
      </w:r>
    </w:p>
    <w:p w14:paraId="71A37762" w14:textId="77777777" w:rsidR="00787BA8" w:rsidRPr="00787BA8" w:rsidRDefault="00787BA8" w:rsidP="007A6DBB">
      <w:pPr>
        <w:jc w:val="center"/>
        <w:rPr>
          <w:b/>
          <w:bCs/>
          <w:lang w:val="pt-BR"/>
        </w:rPr>
      </w:pPr>
    </w:p>
    <w:p w14:paraId="1498F61F" w14:textId="258D8E04" w:rsidR="009161E2" w:rsidRPr="00787BA8" w:rsidRDefault="00067E35" w:rsidP="007A6DBB">
      <w:pPr>
        <w:jc w:val="center"/>
        <w:rPr>
          <w:b/>
          <w:bCs/>
          <w:lang w:val="pt-BR"/>
        </w:rPr>
      </w:pPr>
      <w:r>
        <w:rPr>
          <w:b/>
          <w:bCs/>
          <w:lang w:val="pt-BR"/>
        </w:rPr>
        <w:t>O Calvinismo Pode Causar D</w:t>
      </w:r>
      <w:r w:rsidR="007A6DBB" w:rsidRPr="00787BA8">
        <w:rPr>
          <w:b/>
          <w:bCs/>
          <w:lang w:val="pt-BR"/>
        </w:rPr>
        <w:t>epressão</w:t>
      </w:r>
    </w:p>
    <w:p w14:paraId="52F414FE" w14:textId="77777777" w:rsidR="00787BA8" w:rsidRDefault="00787BA8" w:rsidP="007A6DBB">
      <w:pPr>
        <w:jc w:val="both"/>
        <w:rPr>
          <w:lang w:val="pt-BR"/>
        </w:rPr>
      </w:pPr>
    </w:p>
    <w:p w14:paraId="37AE041D" w14:textId="6A94364D" w:rsidR="007A6DBB" w:rsidRPr="007A6DBB" w:rsidRDefault="00787BA8" w:rsidP="007A6DBB">
      <w:pPr>
        <w:jc w:val="both"/>
        <w:rPr>
          <w:lang w:val="pt-BR"/>
        </w:rPr>
      </w:pPr>
      <w:r>
        <w:rPr>
          <w:lang w:val="pt-BR"/>
        </w:rPr>
        <w:t>Fiz uma visita a um casal que havia visitado nossa igreja em Londrina. Como era nosso costume, queríamos saber se cada um tinha certeza de sua salvação. Percebemos que a esposa tinha dúvidas sobre sua salvação. Ela sentia muita angústia por medo de não ser salva.</w:t>
      </w:r>
    </w:p>
    <w:p w14:paraId="2719E80E" w14:textId="77777777" w:rsidR="007A6DBB" w:rsidRPr="007A6DBB" w:rsidRDefault="007A6DBB" w:rsidP="007A6DBB">
      <w:pPr>
        <w:jc w:val="both"/>
        <w:rPr>
          <w:lang w:val="pt-BR"/>
        </w:rPr>
      </w:pPr>
    </w:p>
    <w:p w14:paraId="3F651607" w14:textId="2B7F999E" w:rsidR="007A6DBB" w:rsidRDefault="007A6DBB" w:rsidP="007A6DBB">
      <w:pPr>
        <w:jc w:val="both"/>
        <w:rPr>
          <w:lang w:val="pt-BR"/>
        </w:rPr>
      </w:pPr>
      <w:r w:rsidRPr="007A6DBB">
        <w:rPr>
          <w:lang w:val="pt-BR"/>
        </w:rPr>
        <w:t>Então, apresentamos o plano da salvação. Para minha surpresa, ela disse que já havia seguido essas orientações, mas tinha medo de não ser eleita. Tentei mostrar a verdade sobre a salvação, que é para todo aquele que crê. Para minha grande tristeza, não consegui ajudar essa senhora a sair da profunda depressão em que se encontrava, pois continuava pensando que talvez não fosse eleita.</w:t>
      </w:r>
    </w:p>
    <w:p w14:paraId="4B88A8B6" w14:textId="77777777" w:rsidR="004E72B4" w:rsidRDefault="004E72B4" w:rsidP="007A6DBB">
      <w:pPr>
        <w:jc w:val="both"/>
        <w:rPr>
          <w:lang w:val="pt-BR"/>
        </w:rPr>
      </w:pPr>
    </w:p>
    <w:p w14:paraId="7656E352" w14:textId="071EEA40" w:rsidR="004E72B4" w:rsidRDefault="004E72B4" w:rsidP="007A6DBB">
      <w:pPr>
        <w:jc w:val="both"/>
        <w:rPr>
          <w:lang w:val="pt-BR"/>
        </w:rPr>
      </w:pPr>
      <w:r>
        <w:rPr>
          <w:lang w:val="pt-BR"/>
        </w:rPr>
        <w:t>Ela olhava para a própria vida e via que ela não condizia com aquilo que imaginava que Deus desejava dela. Do seu ponto de vista, não estava perseverando na fé. Por isso, sentia grande medo e tristeza.</w:t>
      </w:r>
    </w:p>
    <w:p w14:paraId="7C5641AB" w14:textId="77777777" w:rsidR="009D6203" w:rsidRDefault="009D6203" w:rsidP="007A6DBB">
      <w:pPr>
        <w:jc w:val="both"/>
        <w:rPr>
          <w:lang w:val="pt-BR"/>
        </w:rPr>
      </w:pPr>
    </w:p>
    <w:p w14:paraId="782F1380" w14:textId="6559CB79" w:rsidR="004E72B4" w:rsidRDefault="00EB62B4" w:rsidP="004E72B4">
      <w:pPr>
        <w:jc w:val="both"/>
        <w:rPr>
          <w:lang w:val="pt-BR"/>
        </w:rPr>
      </w:pPr>
      <w:r>
        <w:rPr>
          <w:lang w:val="pt-BR"/>
        </w:rPr>
        <w:t>Este não é um caso isolado. Na verdade, compreender o calvinismo não dá, necessariamente, certeza da salvação.</w:t>
      </w:r>
    </w:p>
    <w:p w14:paraId="06A997BA" w14:textId="77777777" w:rsidR="004E72B4" w:rsidRDefault="004E72B4" w:rsidP="004E72B4">
      <w:pPr>
        <w:jc w:val="both"/>
        <w:rPr>
          <w:lang w:val="pt-BR"/>
        </w:rPr>
      </w:pPr>
    </w:p>
    <w:p w14:paraId="16BF39DB" w14:textId="77777777" w:rsidR="004E72B4" w:rsidRDefault="004E72B4" w:rsidP="004E72B4">
      <w:pPr>
        <w:jc w:val="both"/>
        <w:rPr>
          <w:lang w:val="pt-BR"/>
        </w:rPr>
      </w:pPr>
    </w:p>
    <w:p w14:paraId="3B063582" w14:textId="77777777" w:rsidR="00D620DA" w:rsidRDefault="00D620DA" w:rsidP="004E72B4">
      <w:pPr>
        <w:jc w:val="both"/>
        <w:rPr>
          <w:lang w:val="pt-BR"/>
        </w:rPr>
      </w:pPr>
    </w:p>
    <w:p w14:paraId="27127768" w14:textId="2E68DC66" w:rsidR="004E72B4" w:rsidRPr="00EB62B4" w:rsidRDefault="00067E35" w:rsidP="00EB62B4">
      <w:pPr>
        <w:jc w:val="center"/>
        <w:rPr>
          <w:b/>
          <w:bCs/>
          <w:lang w:val="pt-BR"/>
        </w:rPr>
      </w:pPr>
      <w:r>
        <w:rPr>
          <w:b/>
          <w:bCs/>
          <w:lang w:val="pt-BR"/>
        </w:rPr>
        <w:lastRenderedPageBreak/>
        <w:t>Perseverança dos Santos - Certeza da S</w:t>
      </w:r>
      <w:bookmarkStart w:id="0" w:name="_GoBack"/>
      <w:bookmarkEnd w:id="0"/>
      <w:r w:rsidR="004E72B4" w:rsidRPr="00EB62B4">
        <w:rPr>
          <w:b/>
          <w:bCs/>
          <w:lang w:val="pt-BR"/>
        </w:rPr>
        <w:t>alvação</w:t>
      </w:r>
    </w:p>
    <w:p w14:paraId="0A7B9F3C" w14:textId="77777777" w:rsidR="004E72B4" w:rsidRPr="004E72B4" w:rsidRDefault="004E72B4" w:rsidP="004E72B4">
      <w:pPr>
        <w:jc w:val="both"/>
        <w:rPr>
          <w:lang w:val="pt-BR"/>
        </w:rPr>
      </w:pPr>
    </w:p>
    <w:p w14:paraId="43987B17" w14:textId="2D68B209" w:rsidR="004E72B4" w:rsidRPr="004E72B4" w:rsidRDefault="004E72B4" w:rsidP="004E72B4">
      <w:pPr>
        <w:jc w:val="both"/>
        <w:rPr>
          <w:lang w:val="pt-BR"/>
        </w:rPr>
      </w:pPr>
      <w:r w:rsidRPr="004E72B4">
        <w:rPr>
          <w:lang w:val="pt-BR"/>
        </w:rPr>
        <w:t>Há muitos calvinistas que ensinam que a certeza da salvação é possível. Entretanto, a conclusão lógica do ponto de vista da perseverança dos santos é que uma pessoa não pode ter uma certeza absoluta e infalível baseada simplesmente em sua experiência presente, pois a perseverança até o fim é, em si mesma, uma evidência de que a fé da pessoa era genuína.</w:t>
      </w:r>
    </w:p>
    <w:p w14:paraId="4BB70755" w14:textId="77777777" w:rsidR="004E72B4" w:rsidRPr="004E72B4" w:rsidRDefault="004E72B4" w:rsidP="004E72B4">
      <w:pPr>
        <w:jc w:val="both"/>
        <w:rPr>
          <w:lang w:val="pt-BR"/>
        </w:rPr>
      </w:pPr>
    </w:p>
    <w:p w14:paraId="3D7FF46D" w14:textId="2B0A3D05" w:rsidR="004E72B4" w:rsidRPr="004E72B4" w:rsidRDefault="004E72B4" w:rsidP="00791002">
      <w:pPr>
        <w:ind w:left="360" w:hanging="360"/>
        <w:jc w:val="both"/>
        <w:rPr>
          <w:lang w:val="pt-BR"/>
        </w:rPr>
      </w:pPr>
      <w:r w:rsidRPr="00EB62B4">
        <w:rPr>
          <w:b/>
          <w:bCs/>
          <w:lang w:val="pt-BR"/>
        </w:rPr>
        <w:t xml:space="preserve">1. </w:t>
      </w:r>
      <w:r w:rsidR="00791002">
        <w:rPr>
          <w:b/>
          <w:bCs/>
          <w:lang w:val="pt-BR"/>
        </w:rPr>
        <w:tab/>
      </w:r>
      <w:r w:rsidRPr="00EB62B4">
        <w:rPr>
          <w:b/>
          <w:bCs/>
          <w:lang w:val="pt-BR"/>
        </w:rPr>
        <w:t>João Calvino</w:t>
      </w:r>
      <w:r w:rsidRPr="004E72B4">
        <w:rPr>
          <w:lang w:val="pt-BR"/>
        </w:rPr>
        <w:t xml:space="preserve"> é particularmente interessante porque reconhece a dificuldade de conhecer a própria eleição:</w:t>
      </w:r>
    </w:p>
    <w:p w14:paraId="70D0CA4B" w14:textId="77777777" w:rsidR="004E72B4" w:rsidRPr="004E72B4" w:rsidRDefault="004E72B4" w:rsidP="00791002">
      <w:pPr>
        <w:tabs>
          <w:tab w:val="left" w:pos="450"/>
        </w:tabs>
        <w:ind w:left="360"/>
        <w:jc w:val="both"/>
        <w:rPr>
          <w:lang w:val="pt-BR"/>
        </w:rPr>
      </w:pPr>
    </w:p>
    <w:p w14:paraId="14ED9124" w14:textId="7F5AD381" w:rsidR="004E72B4" w:rsidRPr="004E72B4" w:rsidRDefault="004E72B4" w:rsidP="00791002">
      <w:pPr>
        <w:tabs>
          <w:tab w:val="left" w:pos="450"/>
        </w:tabs>
        <w:ind w:left="360"/>
        <w:jc w:val="center"/>
        <w:rPr>
          <w:lang w:val="pt-BR"/>
        </w:rPr>
      </w:pPr>
      <w:r w:rsidRPr="004E72B4">
        <w:rPr>
          <w:lang w:val="pt-BR"/>
        </w:rPr>
        <w:t>“Os homens perguntam de maneira absurda como podem ter certeza de uma salvação que está no conselho oculto de Deus.”</w:t>
      </w:r>
      <w:r w:rsidR="00EB62B4">
        <w:rPr>
          <w:rStyle w:val="Refdenotaderodap"/>
          <w:lang w:val="pt-BR"/>
        </w:rPr>
        <w:footnoteReference w:id="1"/>
      </w:r>
    </w:p>
    <w:p w14:paraId="78E5C926" w14:textId="77777777" w:rsidR="004E72B4" w:rsidRPr="004E72B4" w:rsidRDefault="004E72B4" w:rsidP="00791002">
      <w:pPr>
        <w:tabs>
          <w:tab w:val="left" w:pos="450"/>
        </w:tabs>
        <w:ind w:left="360"/>
        <w:jc w:val="both"/>
        <w:rPr>
          <w:lang w:val="pt-BR"/>
        </w:rPr>
      </w:pPr>
    </w:p>
    <w:p w14:paraId="4F5FD0D9" w14:textId="77777777" w:rsidR="004E72B4" w:rsidRPr="004E72B4" w:rsidRDefault="004E72B4" w:rsidP="00791002">
      <w:pPr>
        <w:tabs>
          <w:tab w:val="left" w:pos="450"/>
        </w:tabs>
        <w:ind w:left="360"/>
        <w:jc w:val="both"/>
        <w:rPr>
          <w:lang w:val="pt-BR"/>
        </w:rPr>
      </w:pPr>
      <w:r w:rsidRPr="004E72B4">
        <w:rPr>
          <w:lang w:val="pt-BR"/>
        </w:rPr>
        <w:t>Calvino ensina que a certeza deve ser buscada em Cristo, e não na tentativa de descobrir o decreto secreto de Deus.</w:t>
      </w:r>
    </w:p>
    <w:p w14:paraId="29DBEF1F" w14:textId="77777777" w:rsidR="004E72B4" w:rsidRPr="004E72B4" w:rsidRDefault="004E72B4" w:rsidP="00791002">
      <w:pPr>
        <w:tabs>
          <w:tab w:val="left" w:pos="450"/>
        </w:tabs>
        <w:ind w:left="360"/>
        <w:jc w:val="both"/>
        <w:rPr>
          <w:lang w:val="pt-BR"/>
        </w:rPr>
      </w:pPr>
    </w:p>
    <w:p w14:paraId="75714D61" w14:textId="77777777" w:rsidR="004E72B4" w:rsidRPr="004E72B4" w:rsidRDefault="004E72B4" w:rsidP="00791002">
      <w:pPr>
        <w:tabs>
          <w:tab w:val="left" w:pos="450"/>
        </w:tabs>
        <w:ind w:left="360"/>
        <w:jc w:val="both"/>
        <w:rPr>
          <w:lang w:val="pt-BR"/>
        </w:rPr>
      </w:pPr>
      <w:r w:rsidRPr="004E72B4">
        <w:rPr>
          <w:lang w:val="pt-BR"/>
        </w:rPr>
        <w:t>Ainda mais relevante para a questão da perseverança é sua afirmação de que algumas pessoas podem parecer ser verdadeiros crentes por algum tempo, mas posteriormente demonstrar que não eram:</w:t>
      </w:r>
    </w:p>
    <w:p w14:paraId="16B26944" w14:textId="77777777" w:rsidR="004E72B4" w:rsidRPr="004E72B4" w:rsidRDefault="004E72B4" w:rsidP="00791002">
      <w:pPr>
        <w:tabs>
          <w:tab w:val="left" w:pos="450"/>
        </w:tabs>
        <w:ind w:left="360"/>
        <w:jc w:val="both"/>
        <w:rPr>
          <w:lang w:val="pt-BR"/>
        </w:rPr>
      </w:pPr>
    </w:p>
    <w:p w14:paraId="557D2640" w14:textId="460C8E78" w:rsidR="004E72B4" w:rsidRPr="004E72B4" w:rsidRDefault="004E72B4" w:rsidP="00791002">
      <w:pPr>
        <w:tabs>
          <w:tab w:val="left" w:pos="450"/>
        </w:tabs>
        <w:ind w:left="360"/>
        <w:jc w:val="center"/>
        <w:rPr>
          <w:lang w:val="pt-BR"/>
        </w:rPr>
      </w:pPr>
      <w:r w:rsidRPr="004E72B4">
        <w:rPr>
          <w:lang w:val="pt-BR"/>
        </w:rPr>
        <w:t>“Aqueles que parecem viver piedosamente podem ser chamados filhos de Deus; mas, visto que finalmente viverão impiamente e morrerão em sua impiedade, Deus não os chama de filhos em sua presciência.”</w:t>
      </w:r>
      <w:r w:rsidR="00495C91">
        <w:rPr>
          <w:rStyle w:val="Refdenotaderodap"/>
          <w:lang w:val="pt-BR"/>
        </w:rPr>
        <w:footnoteReference w:id="2"/>
      </w:r>
    </w:p>
    <w:p w14:paraId="695DE82B" w14:textId="77777777" w:rsidR="004E72B4" w:rsidRPr="00D620DA" w:rsidRDefault="004E72B4" w:rsidP="00791002">
      <w:pPr>
        <w:tabs>
          <w:tab w:val="left" w:pos="450"/>
        </w:tabs>
        <w:ind w:left="360"/>
        <w:jc w:val="both"/>
        <w:rPr>
          <w:lang w:val="pt-BR"/>
        </w:rPr>
      </w:pPr>
    </w:p>
    <w:p w14:paraId="52A0BA6C" w14:textId="77777777" w:rsidR="004E72B4" w:rsidRPr="004E72B4" w:rsidRDefault="004E72B4" w:rsidP="00791002">
      <w:pPr>
        <w:tabs>
          <w:tab w:val="left" w:pos="450"/>
        </w:tabs>
        <w:ind w:left="360"/>
        <w:jc w:val="both"/>
        <w:rPr>
          <w:lang w:val="pt-BR"/>
        </w:rPr>
      </w:pPr>
      <w:r w:rsidRPr="004E72B4">
        <w:rPr>
          <w:lang w:val="pt-BR"/>
        </w:rPr>
        <w:t>Isso é bastante significativo. Para Calvino, a aparência presente de fé não necessariamente demonstra que uma pessoa pertence aos eleitos que perseverarão até o fim.</w:t>
      </w:r>
    </w:p>
    <w:p w14:paraId="7B1CA449" w14:textId="77777777" w:rsidR="004E72B4" w:rsidRPr="004E72B4" w:rsidRDefault="004E72B4" w:rsidP="004E72B4">
      <w:pPr>
        <w:jc w:val="both"/>
        <w:rPr>
          <w:lang w:val="pt-BR"/>
        </w:rPr>
      </w:pPr>
    </w:p>
    <w:p w14:paraId="5F11EF4A" w14:textId="1D35910C" w:rsidR="004E72B4" w:rsidRPr="004E72B4" w:rsidRDefault="004E72B4" w:rsidP="00791002">
      <w:pPr>
        <w:ind w:left="360" w:hanging="360"/>
        <w:jc w:val="both"/>
        <w:rPr>
          <w:lang w:val="pt-BR"/>
        </w:rPr>
      </w:pPr>
      <w:r w:rsidRPr="00495C91">
        <w:rPr>
          <w:b/>
          <w:bCs/>
          <w:lang w:val="pt-BR"/>
        </w:rPr>
        <w:t xml:space="preserve">2. </w:t>
      </w:r>
      <w:r w:rsidR="00791002">
        <w:rPr>
          <w:b/>
          <w:bCs/>
          <w:lang w:val="pt-BR"/>
        </w:rPr>
        <w:tab/>
      </w:r>
      <w:r w:rsidRPr="00495C91">
        <w:rPr>
          <w:b/>
          <w:bCs/>
          <w:lang w:val="pt-BR"/>
        </w:rPr>
        <w:t xml:space="preserve">R. C. </w:t>
      </w:r>
      <w:proofErr w:type="spellStart"/>
      <w:r w:rsidRPr="00495C91">
        <w:rPr>
          <w:b/>
          <w:bCs/>
          <w:lang w:val="pt-BR"/>
        </w:rPr>
        <w:t>Sproul</w:t>
      </w:r>
      <w:proofErr w:type="spellEnd"/>
      <w:r w:rsidR="00791002">
        <w:rPr>
          <w:b/>
          <w:bCs/>
          <w:lang w:val="pt-BR"/>
        </w:rPr>
        <w:t xml:space="preserve"> </w:t>
      </w:r>
      <w:r w:rsidRPr="004E72B4">
        <w:rPr>
          <w:lang w:val="pt-BR"/>
        </w:rPr>
        <w:t xml:space="preserve">é provavelmente um dos melhores exemplos </w:t>
      </w:r>
      <w:r w:rsidR="00495C91">
        <w:rPr>
          <w:lang w:val="pt-BR"/>
        </w:rPr>
        <w:t>da incerteza dos calvinistas quanto à salvação. E</w:t>
      </w:r>
      <w:r w:rsidRPr="004E72B4">
        <w:rPr>
          <w:lang w:val="pt-BR"/>
        </w:rPr>
        <w:t>le escreve:</w:t>
      </w:r>
    </w:p>
    <w:p w14:paraId="4E15C79E" w14:textId="77777777" w:rsidR="004E72B4" w:rsidRPr="004E72B4" w:rsidRDefault="004E72B4" w:rsidP="004E72B4">
      <w:pPr>
        <w:jc w:val="both"/>
        <w:rPr>
          <w:lang w:val="pt-BR"/>
        </w:rPr>
      </w:pPr>
    </w:p>
    <w:p w14:paraId="3497DB28" w14:textId="4B1D3492" w:rsidR="004E72B4" w:rsidRPr="00D620DA" w:rsidRDefault="004E72B4" w:rsidP="00791002">
      <w:pPr>
        <w:tabs>
          <w:tab w:val="left" w:pos="360"/>
        </w:tabs>
        <w:ind w:left="360"/>
        <w:jc w:val="center"/>
        <w:rPr>
          <w:lang w:val="pt-BR"/>
        </w:rPr>
      </w:pPr>
      <w:r w:rsidRPr="004E72B4">
        <w:rPr>
          <w:lang w:val="pt-BR"/>
        </w:rPr>
        <w:t xml:space="preserve">“Nossa fé e nossa certeza tendem a ser frágeis e delicadas. A certeza pode ser facilmente interrompida e rudemente abalada. </w:t>
      </w:r>
      <w:r w:rsidRPr="00D620DA">
        <w:rPr>
          <w:lang w:val="pt-BR"/>
        </w:rPr>
        <w:t>Ela pode ser intermitente. É particularmente vulnerável ao pecado.”</w:t>
      </w:r>
      <w:r w:rsidR="00495C91">
        <w:rPr>
          <w:rStyle w:val="Refdenotaderodap"/>
        </w:rPr>
        <w:footnoteReference w:id="3"/>
      </w:r>
    </w:p>
    <w:p w14:paraId="40BF5071" w14:textId="77777777" w:rsidR="004E72B4" w:rsidRPr="00D620DA" w:rsidRDefault="004E72B4" w:rsidP="00791002">
      <w:pPr>
        <w:tabs>
          <w:tab w:val="left" w:pos="360"/>
        </w:tabs>
        <w:ind w:left="360"/>
        <w:jc w:val="both"/>
        <w:rPr>
          <w:lang w:val="pt-BR"/>
        </w:rPr>
      </w:pPr>
    </w:p>
    <w:p w14:paraId="58C19A68" w14:textId="32ACC15D" w:rsidR="004E72B4" w:rsidRPr="004E72B4" w:rsidRDefault="004E72B4" w:rsidP="00791002">
      <w:pPr>
        <w:tabs>
          <w:tab w:val="left" w:pos="360"/>
        </w:tabs>
        <w:ind w:left="360"/>
        <w:jc w:val="both"/>
        <w:rPr>
          <w:lang w:val="pt-BR"/>
        </w:rPr>
      </w:pPr>
      <w:r w:rsidRPr="004E72B4">
        <w:rPr>
          <w:lang w:val="pt-BR"/>
        </w:rPr>
        <w:t>Isso é interessante porque Sproul ensina que os verdadeiros crentes podem ter certeza da salvação, mas, ao mesmo tempo, reconhece que essa certeza pode ser abalada. Como acontece muitas vezes com os calvinistas, ele afirma duas coisas contrárias ao mesmo tempo como sendo verdadeiras.</w:t>
      </w:r>
    </w:p>
    <w:p w14:paraId="164D7D59" w14:textId="77777777" w:rsidR="004E72B4" w:rsidRPr="004E72B4" w:rsidRDefault="004E72B4" w:rsidP="00791002">
      <w:pPr>
        <w:tabs>
          <w:tab w:val="left" w:pos="360"/>
        </w:tabs>
        <w:ind w:left="360"/>
        <w:jc w:val="both"/>
        <w:rPr>
          <w:lang w:val="pt-BR"/>
        </w:rPr>
      </w:pPr>
    </w:p>
    <w:p w14:paraId="35CE7295" w14:textId="77777777" w:rsidR="004E72B4" w:rsidRPr="004E72B4" w:rsidRDefault="004E72B4" w:rsidP="00791002">
      <w:pPr>
        <w:tabs>
          <w:tab w:val="left" w:pos="360"/>
        </w:tabs>
        <w:ind w:left="360"/>
        <w:jc w:val="both"/>
        <w:rPr>
          <w:lang w:val="pt-BR"/>
        </w:rPr>
      </w:pPr>
      <w:r w:rsidRPr="004E72B4">
        <w:rPr>
          <w:lang w:val="pt-BR"/>
        </w:rPr>
        <w:lastRenderedPageBreak/>
        <w:t xml:space="preserve">Ainda mais relevante é sua discussão sobre perseverança. </w:t>
      </w:r>
      <w:proofErr w:type="spellStart"/>
      <w:r w:rsidRPr="004E72B4">
        <w:rPr>
          <w:lang w:val="pt-BR"/>
        </w:rPr>
        <w:t>Sproul</w:t>
      </w:r>
      <w:proofErr w:type="spellEnd"/>
      <w:r w:rsidRPr="004E72B4">
        <w:rPr>
          <w:lang w:val="pt-BR"/>
        </w:rPr>
        <w:t xml:space="preserve"> relaciona intimamente a certeza da salvação com a perseverança na vida cristã:</w:t>
      </w:r>
    </w:p>
    <w:p w14:paraId="4C0EA142" w14:textId="77777777" w:rsidR="004E72B4" w:rsidRPr="004E72B4" w:rsidRDefault="004E72B4" w:rsidP="00791002">
      <w:pPr>
        <w:tabs>
          <w:tab w:val="left" w:pos="360"/>
        </w:tabs>
        <w:ind w:left="360"/>
        <w:jc w:val="both"/>
        <w:rPr>
          <w:lang w:val="pt-BR"/>
        </w:rPr>
      </w:pPr>
    </w:p>
    <w:p w14:paraId="684D46BA" w14:textId="350CDE63" w:rsidR="004E72B4" w:rsidRPr="004E72B4" w:rsidRDefault="004E72B4" w:rsidP="00791002">
      <w:pPr>
        <w:tabs>
          <w:tab w:val="left" w:pos="360"/>
        </w:tabs>
        <w:ind w:left="360"/>
        <w:jc w:val="center"/>
        <w:rPr>
          <w:lang w:val="pt-BR"/>
        </w:rPr>
      </w:pPr>
      <w:r w:rsidRPr="004E72B4">
        <w:rPr>
          <w:lang w:val="pt-BR"/>
        </w:rPr>
        <w:t>“Vimos a estreita relação entre a certeza da salvação e a perseverança na vida cristã.”</w:t>
      </w:r>
      <w:r w:rsidR="00495C91">
        <w:rPr>
          <w:rStyle w:val="Refdenotaderodap"/>
          <w:lang w:val="pt-BR"/>
        </w:rPr>
        <w:footnoteReference w:id="4"/>
      </w:r>
    </w:p>
    <w:p w14:paraId="084B79ED" w14:textId="77777777" w:rsidR="004E72B4" w:rsidRPr="00D620DA" w:rsidRDefault="004E72B4" w:rsidP="00791002">
      <w:pPr>
        <w:tabs>
          <w:tab w:val="left" w:pos="360"/>
        </w:tabs>
        <w:ind w:left="360"/>
        <w:jc w:val="both"/>
        <w:rPr>
          <w:lang w:val="pt-BR"/>
        </w:rPr>
      </w:pPr>
    </w:p>
    <w:p w14:paraId="1398D3B9" w14:textId="40B87024" w:rsidR="004E72B4" w:rsidRPr="004E72B4" w:rsidRDefault="004E72B4" w:rsidP="00791002">
      <w:pPr>
        <w:tabs>
          <w:tab w:val="left" w:pos="360"/>
        </w:tabs>
        <w:ind w:left="360"/>
        <w:jc w:val="both"/>
        <w:rPr>
          <w:lang w:val="pt-BR"/>
        </w:rPr>
      </w:pPr>
      <w:r w:rsidRPr="004E72B4">
        <w:rPr>
          <w:lang w:val="pt-BR"/>
        </w:rPr>
        <w:t>Em sua explicação, quando alguém abandona definitivamente a fé, isso demonstra que sua profissão anterior de fé não era genuína.</w:t>
      </w:r>
      <w:r w:rsidR="00495C91">
        <w:rPr>
          <w:lang w:val="pt-BR"/>
        </w:rPr>
        <w:t xml:space="preserve"> </w:t>
      </w:r>
      <w:r w:rsidRPr="004E72B4">
        <w:rPr>
          <w:lang w:val="pt-BR"/>
        </w:rPr>
        <w:t>Se a perseverança até o fim demonstra que a fé de uma pessoa era genuína, como alguém pode saber, antes do fim, de maneira absolutamente infalível, que sua fé presente é genuína e que ela certamente perseverará?</w:t>
      </w:r>
    </w:p>
    <w:p w14:paraId="68FF2451" w14:textId="77777777" w:rsidR="004E72B4" w:rsidRPr="004E72B4" w:rsidRDefault="004E72B4" w:rsidP="004E72B4">
      <w:pPr>
        <w:jc w:val="both"/>
        <w:rPr>
          <w:lang w:val="pt-BR"/>
        </w:rPr>
      </w:pPr>
    </w:p>
    <w:p w14:paraId="7C95B751" w14:textId="0FAE761C" w:rsidR="004E72B4" w:rsidRPr="004E72B4" w:rsidRDefault="004E72B4" w:rsidP="00791002">
      <w:pPr>
        <w:ind w:left="360" w:hanging="360"/>
        <w:jc w:val="both"/>
        <w:rPr>
          <w:lang w:val="pt-BR"/>
        </w:rPr>
      </w:pPr>
      <w:r w:rsidRPr="004E72B4">
        <w:rPr>
          <w:lang w:val="pt-BR"/>
        </w:rPr>
        <w:t xml:space="preserve">3. </w:t>
      </w:r>
      <w:r w:rsidR="00791002">
        <w:rPr>
          <w:lang w:val="pt-BR"/>
        </w:rPr>
        <w:tab/>
      </w:r>
      <w:proofErr w:type="spellStart"/>
      <w:r w:rsidRPr="00791002">
        <w:rPr>
          <w:b/>
          <w:bCs/>
          <w:lang w:val="pt-BR"/>
        </w:rPr>
        <w:t>Asahel</w:t>
      </w:r>
      <w:proofErr w:type="spellEnd"/>
      <w:r w:rsidRPr="00791002">
        <w:rPr>
          <w:b/>
          <w:bCs/>
          <w:lang w:val="pt-BR"/>
        </w:rPr>
        <w:t xml:space="preserve"> </w:t>
      </w:r>
      <w:proofErr w:type="spellStart"/>
      <w:r w:rsidRPr="00791002">
        <w:rPr>
          <w:b/>
          <w:bCs/>
          <w:lang w:val="pt-BR"/>
        </w:rPr>
        <w:t>Nettleton</w:t>
      </w:r>
      <w:proofErr w:type="spellEnd"/>
      <w:r w:rsidR="00791002">
        <w:rPr>
          <w:lang w:val="pt-BR"/>
        </w:rPr>
        <w:t xml:space="preserve">, um </w:t>
      </w:r>
      <w:r w:rsidRPr="004E72B4">
        <w:rPr>
          <w:lang w:val="pt-BR"/>
        </w:rPr>
        <w:t>pregador calvinista</w:t>
      </w:r>
      <w:r w:rsidR="00791002">
        <w:rPr>
          <w:lang w:val="pt-BR"/>
        </w:rPr>
        <w:t xml:space="preserve">, </w:t>
      </w:r>
      <w:r w:rsidRPr="004E72B4">
        <w:rPr>
          <w:lang w:val="pt-BR"/>
        </w:rPr>
        <w:t>di</w:t>
      </w:r>
      <w:r w:rsidR="00791002">
        <w:rPr>
          <w:lang w:val="pt-BR"/>
        </w:rPr>
        <w:t>sse</w:t>
      </w:r>
      <w:r w:rsidRPr="004E72B4">
        <w:rPr>
          <w:lang w:val="pt-BR"/>
        </w:rPr>
        <w:t>:</w:t>
      </w:r>
    </w:p>
    <w:p w14:paraId="16A6A693" w14:textId="77777777" w:rsidR="004E72B4" w:rsidRPr="004E72B4" w:rsidRDefault="004E72B4" w:rsidP="004E72B4">
      <w:pPr>
        <w:jc w:val="both"/>
        <w:rPr>
          <w:lang w:val="pt-BR"/>
        </w:rPr>
      </w:pPr>
    </w:p>
    <w:p w14:paraId="12510A88" w14:textId="3A1BA31B" w:rsidR="004E72B4" w:rsidRPr="004E72B4" w:rsidRDefault="004E72B4" w:rsidP="00791002">
      <w:pPr>
        <w:tabs>
          <w:tab w:val="left" w:pos="360"/>
        </w:tabs>
        <w:ind w:left="360"/>
        <w:jc w:val="center"/>
        <w:rPr>
          <w:lang w:val="pt-BR"/>
        </w:rPr>
      </w:pPr>
      <w:r w:rsidRPr="004E72B4">
        <w:rPr>
          <w:lang w:val="pt-BR"/>
        </w:rPr>
        <w:t>“O máximo que me atrevi a dizer a respeito de mim mesmo é que penso ser possível que eu chegue ao céu.”</w:t>
      </w:r>
      <w:r w:rsidR="00791002">
        <w:rPr>
          <w:rStyle w:val="Refdenotaderodap"/>
          <w:lang w:val="pt-BR"/>
        </w:rPr>
        <w:footnoteReference w:id="5"/>
      </w:r>
    </w:p>
    <w:p w14:paraId="24CF79F0" w14:textId="77777777" w:rsidR="00791002" w:rsidRDefault="00791002" w:rsidP="00791002">
      <w:pPr>
        <w:tabs>
          <w:tab w:val="left" w:pos="360"/>
        </w:tabs>
        <w:ind w:left="360"/>
        <w:jc w:val="both"/>
        <w:rPr>
          <w:lang w:val="pt-BR"/>
        </w:rPr>
      </w:pPr>
    </w:p>
    <w:p w14:paraId="65819781" w14:textId="72530734" w:rsidR="004E72B4" w:rsidRPr="004E72B4" w:rsidRDefault="004E72B4" w:rsidP="00791002">
      <w:pPr>
        <w:tabs>
          <w:tab w:val="left" w:pos="360"/>
        </w:tabs>
        <w:ind w:left="360"/>
        <w:jc w:val="both"/>
        <w:rPr>
          <w:lang w:val="pt-BR"/>
        </w:rPr>
      </w:pPr>
      <w:r w:rsidRPr="004E72B4">
        <w:rPr>
          <w:lang w:val="pt-BR"/>
        </w:rPr>
        <w:t xml:space="preserve">Essa é provavelmente uma das citações mais fortes </w:t>
      </w:r>
      <w:r w:rsidR="00791002">
        <w:rPr>
          <w:lang w:val="pt-BR"/>
        </w:rPr>
        <w:t>em que</w:t>
      </w:r>
      <w:r w:rsidRPr="004E72B4">
        <w:rPr>
          <w:lang w:val="pt-BR"/>
        </w:rPr>
        <w:t xml:space="preserve"> um pregador calvinista expressa incerteza sobre sua própria salvação final.</w:t>
      </w:r>
    </w:p>
    <w:p w14:paraId="379E293F" w14:textId="77777777" w:rsidR="004E72B4" w:rsidRPr="004E72B4" w:rsidRDefault="004E72B4" w:rsidP="004E72B4">
      <w:pPr>
        <w:jc w:val="both"/>
        <w:rPr>
          <w:lang w:val="pt-BR"/>
        </w:rPr>
      </w:pPr>
    </w:p>
    <w:p w14:paraId="464F2842" w14:textId="4D4EACA1" w:rsidR="004E72B4" w:rsidRPr="004E72B4" w:rsidRDefault="004E72B4" w:rsidP="00791002">
      <w:pPr>
        <w:ind w:left="360" w:hanging="360"/>
        <w:jc w:val="both"/>
        <w:rPr>
          <w:lang w:val="pt-BR"/>
        </w:rPr>
      </w:pPr>
      <w:r w:rsidRPr="004E72B4">
        <w:rPr>
          <w:lang w:val="pt-BR"/>
        </w:rPr>
        <w:t xml:space="preserve">4. </w:t>
      </w:r>
      <w:r w:rsidR="00791002">
        <w:rPr>
          <w:lang w:val="pt-BR"/>
        </w:rPr>
        <w:tab/>
      </w:r>
      <w:r w:rsidRPr="00D7673D">
        <w:rPr>
          <w:b/>
          <w:bCs/>
          <w:lang w:val="pt-BR"/>
        </w:rPr>
        <w:t>Wayne Grudem</w:t>
      </w:r>
      <w:r w:rsidR="00791002">
        <w:rPr>
          <w:lang w:val="pt-BR"/>
        </w:rPr>
        <w:t xml:space="preserve"> </w:t>
      </w:r>
      <w:r w:rsidRPr="004E72B4">
        <w:rPr>
          <w:lang w:val="pt-BR"/>
        </w:rPr>
        <w:t>apresenta uma posição um pouco diferente.</w:t>
      </w:r>
      <w:r w:rsidR="00791002">
        <w:rPr>
          <w:lang w:val="pt-BR"/>
        </w:rPr>
        <w:t xml:space="preserve"> </w:t>
      </w:r>
      <w:r w:rsidRPr="004E72B4">
        <w:rPr>
          <w:lang w:val="pt-BR"/>
        </w:rPr>
        <w:t>Ele não ensina que os cristãos nunca podem ter certeza da salvação. Pelo contrário, ensina que a certeza é possível. Porém, sua explicação da perseverança contém uma qualificação importante:</w:t>
      </w:r>
    </w:p>
    <w:p w14:paraId="65C83BEC" w14:textId="77777777" w:rsidR="004E72B4" w:rsidRPr="004E72B4" w:rsidRDefault="004E72B4" w:rsidP="004E72B4">
      <w:pPr>
        <w:jc w:val="both"/>
        <w:rPr>
          <w:lang w:val="pt-BR"/>
        </w:rPr>
      </w:pPr>
    </w:p>
    <w:p w14:paraId="4DAFC5AB" w14:textId="302B5219" w:rsidR="004E72B4" w:rsidRPr="004E72B4" w:rsidRDefault="004E72B4" w:rsidP="00D620DA">
      <w:pPr>
        <w:ind w:left="360"/>
        <w:jc w:val="center"/>
        <w:rPr>
          <w:lang w:val="pt-BR"/>
        </w:rPr>
      </w:pPr>
      <w:r w:rsidRPr="004E72B4">
        <w:rPr>
          <w:lang w:val="pt-BR"/>
        </w:rPr>
        <w:t>“Esta doutrina da perseverança dos santos, se corretamente entendida, deve causar preocupação genuína, e até mesmo temor, no coração de qualquer pessoa que esteja ‘retrocedendo’ ou se afastando de Cristo.”</w:t>
      </w:r>
      <w:r w:rsidR="00791002">
        <w:rPr>
          <w:rStyle w:val="Refdenotaderodap"/>
          <w:lang w:val="pt-BR"/>
        </w:rPr>
        <w:footnoteReference w:id="6"/>
      </w:r>
    </w:p>
    <w:p w14:paraId="6B3F1167" w14:textId="77777777" w:rsidR="004E72B4" w:rsidRPr="004E72B4" w:rsidRDefault="004E72B4" w:rsidP="00D620DA">
      <w:pPr>
        <w:ind w:left="360"/>
        <w:jc w:val="both"/>
        <w:rPr>
          <w:lang w:val="pt-BR"/>
        </w:rPr>
      </w:pPr>
    </w:p>
    <w:p w14:paraId="140731DB" w14:textId="4E0ED001" w:rsidR="00D7673D" w:rsidRDefault="004E72B4" w:rsidP="00D620DA">
      <w:pPr>
        <w:ind w:left="360"/>
        <w:jc w:val="both"/>
        <w:rPr>
          <w:lang w:val="pt-BR"/>
        </w:rPr>
      </w:pPr>
      <w:r w:rsidRPr="004E72B4">
        <w:rPr>
          <w:lang w:val="pt-BR"/>
        </w:rPr>
        <w:t>Ele continua explicando que essas pessoas precisam ser advertidas de que somente aqueles que perseveram até o fim foram verdadeiramente regenerados.</w:t>
      </w:r>
      <w:r w:rsidR="00D7673D">
        <w:rPr>
          <w:lang w:val="pt-BR"/>
        </w:rPr>
        <w:t xml:space="preserve"> </w:t>
      </w:r>
      <w:r w:rsidRPr="004E72B4">
        <w:rPr>
          <w:lang w:val="pt-BR"/>
        </w:rPr>
        <w:t xml:space="preserve">Isso não é tão forte quanto a declaração de </w:t>
      </w:r>
      <w:proofErr w:type="spellStart"/>
      <w:r w:rsidRPr="004E72B4">
        <w:rPr>
          <w:lang w:val="pt-BR"/>
        </w:rPr>
        <w:t>Nettleton</w:t>
      </w:r>
      <w:proofErr w:type="spellEnd"/>
      <w:r w:rsidRPr="004E72B4">
        <w:rPr>
          <w:lang w:val="pt-BR"/>
        </w:rPr>
        <w:t>, porque Grudem acredita firmemente que a certeza da salvação é possível.</w:t>
      </w:r>
    </w:p>
    <w:p w14:paraId="56A0587D" w14:textId="77777777" w:rsidR="00D7673D" w:rsidRDefault="00D7673D" w:rsidP="004E72B4">
      <w:pPr>
        <w:jc w:val="both"/>
        <w:rPr>
          <w:lang w:val="pt-BR"/>
        </w:rPr>
      </w:pPr>
    </w:p>
    <w:p w14:paraId="3706E438" w14:textId="6A86489A" w:rsidR="004E72B4" w:rsidRPr="00BC0070" w:rsidRDefault="00BC0070" w:rsidP="00BC0070">
      <w:pPr>
        <w:jc w:val="center"/>
        <w:rPr>
          <w:b/>
          <w:bCs/>
          <w:lang w:val="pt-BR"/>
        </w:rPr>
      </w:pPr>
      <w:r w:rsidRPr="00BC0070">
        <w:rPr>
          <w:b/>
          <w:bCs/>
          <w:lang w:val="pt-BR"/>
        </w:rPr>
        <w:t>Conclusão</w:t>
      </w:r>
    </w:p>
    <w:p w14:paraId="0EA34646" w14:textId="77777777" w:rsidR="004E72B4" w:rsidRPr="004E72B4" w:rsidRDefault="004E72B4" w:rsidP="004E72B4">
      <w:pPr>
        <w:jc w:val="both"/>
        <w:rPr>
          <w:lang w:val="pt-BR"/>
        </w:rPr>
      </w:pPr>
    </w:p>
    <w:p w14:paraId="430B9585" w14:textId="2F8B3E0F" w:rsidR="004E72B4" w:rsidRPr="004E72B4" w:rsidRDefault="00D7673D" w:rsidP="004E72B4">
      <w:pPr>
        <w:jc w:val="both"/>
        <w:rPr>
          <w:lang w:val="pt-BR"/>
        </w:rPr>
      </w:pPr>
      <w:r>
        <w:rPr>
          <w:lang w:val="pt-BR"/>
        </w:rPr>
        <w:t>O</w:t>
      </w:r>
      <w:r w:rsidR="004E72B4" w:rsidRPr="004E72B4">
        <w:rPr>
          <w:lang w:val="pt-BR"/>
        </w:rPr>
        <w:t xml:space="preserve"> calvinismo </w:t>
      </w:r>
      <w:r>
        <w:rPr>
          <w:lang w:val="pt-BR"/>
        </w:rPr>
        <w:t>não</w:t>
      </w:r>
      <w:r w:rsidR="004E72B4" w:rsidRPr="004E72B4">
        <w:rPr>
          <w:lang w:val="pt-BR"/>
        </w:rPr>
        <w:t xml:space="preserve"> ensina universalmente que o cristão não pode ter certeza da salvação. Afirmar isso seria impreciso</w:t>
      </w:r>
      <w:r w:rsidR="00BC0070">
        <w:rPr>
          <w:lang w:val="pt-BR"/>
        </w:rPr>
        <w:t xml:space="preserve">, pois a </w:t>
      </w:r>
      <w:r w:rsidR="004E72B4" w:rsidRPr="004E72B4">
        <w:rPr>
          <w:lang w:val="pt-BR"/>
        </w:rPr>
        <w:t>Confissão de Westminster, por exemplo, ensina que os verdadeiros crentes podem ter “certeza infalível” de que estão em estado de graça e perseverarão.</w:t>
      </w:r>
    </w:p>
    <w:p w14:paraId="2E73D7C6" w14:textId="77777777" w:rsidR="004E72B4" w:rsidRPr="004E72B4" w:rsidRDefault="004E72B4" w:rsidP="004E72B4">
      <w:pPr>
        <w:jc w:val="both"/>
        <w:rPr>
          <w:lang w:val="pt-BR"/>
        </w:rPr>
      </w:pPr>
    </w:p>
    <w:p w14:paraId="6430EF87" w14:textId="58B9E987" w:rsidR="004E72B4" w:rsidRDefault="004E72B4" w:rsidP="004E72B4">
      <w:pPr>
        <w:jc w:val="both"/>
        <w:rPr>
          <w:lang w:val="pt-BR"/>
        </w:rPr>
      </w:pPr>
      <w:r w:rsidRPr="004E72B4">
        <w:rPr>
          <w:lang w:val="pt-BR"/>
        </w:rPr>
        <w:t xml:space="preserve">Portanto, </w:t>
      </w:r>
      <w:r w:rsidR="00BC0070">
        <w:rPr>
          <w:lang w:val="pt-BR"/>
        </w:rPr>
        <w:t>o</w:t>
      </w:r>
      <w:r w:rsidRPr="004E72B4">
        <w:rPr>
          <w:lang w:val="pt-BR"/>
        </w:rPr>
        <w:t xml:space="preserve"> calvinismo distingue entre a certeza presente da fé e a certeza de que a fé presente é genuína e necessariamente perseverará até o fim. Por isso, alguns escritores </w:t>
      </w:r>
      <w:r w:rsidRPr="004E72B4">
        <w:rPr>
          <w:lang w:val="pt-BR"/>
        </w:rPr>
        <w:lastRenderedPageBreak/>
        <w:t>calvinistas reconheceram uma significativa possibilidade de incerteza quanto à salvação final de uma pessoa.</w:t>
      </w:r>
    </w:p>
    <w:p w14:paraId="22C5D227" w14:textId="77777777" w:rsidR="00BC0070" w:rsidRPr="004E72B4" w:rsidRDefault="00BC0070" w:rsidP="004E72B4">
      <w:pPr>
        <w:jc w:val="both"/>
        <w:rPr>
          <w:lang w:val="pt-BR"/>
        </w:rPr>
      </w:pPr>
    </w:p>
    <w:p w14:paraId="0EBAE9FE" w14:textId="3C0BC827" w:rsidR="00BC0070" w:rsidRPr="004E72B4" w:rsidRDefault="00BC0070" w:rsidP="00BC0070">
      <w:pPr>
        <w:jc w:val="both"/>
        <w:rPr>
          <w:lang w:val="pt-BR"/>
        </w:rPr>
      </w:pPr>
      <w:r>
        <w:rPr>
          <w:lang w:val="pt-BR"/>
        </w:rPr>
        <w:t>A lógica calvinista é que a perseverança é evidência de uma regeneração genuína. A conclusão natural é: se não persevera, não é salvo. Mas como posso saber que, no futuro distante, não vou cair?</w:t>
      </w:r>
    </w:p>
    <w:p w14:paraId="38192050" w14:textId="77777777" w:rsidR="007827D0" w:rsidRDefault="007827D0" w:rsidP="004E72B4">
      <w:pPr>
        <w:jc w:val="both"/>
        <w:rPr>
          <w:lang w:val="pt-BR"/>
        </w:rPr>
      </w:pPr>
    </w:p>
    <w:p w14:paraId="1922C6D0" w14:textId="140C0C96" w:rsidR="007827D0" w:rsidRDefault="007827D0" w:rsidP="007827D0">
      <w:pPr>
        <w:jc w:val="center"/>
        <w:rPr>
          <w:lang w:val="pt-BR"/>
        </w:rPr>
      </w:pPr>
      <w:r w:rsidRPr="007827D0">
        <w:rPr>
          <w:lang w:val="pt-BR"/>
        </w:rPr>
        <w:t>1 Coríntios 10:12</w:t>
      </w:r>
    </w:p>
    <w:p w14:paraId="16A01D08" w14:textId="77777777" w:rsidR="007827D0" w:rsidRPr="007827D0" w:rsidRDefault="007827D0" w:rsidP="007827D0">
      <w:pPr>
        <w:jc w:val="center"/>
        <w:rPr>
          <w:lang w:val="pt-BR"/>
        </w:rPr>
      </w:pPr>
      <w:r w:rsidRPr="007827D0">
        <w:rPr>
          <w:lang w:val="pt-BR"/>
        </w:rPr>
        <w:t>“</w:t>
      </w:r>
      <w:r w:rsidRPr="007827D0">
        <w:rPr>
          <w:i/>
          <w:iCs/>
          <w:lang w:val="pt-BR"/>
        </w:rPr>
        <w:t>Aquele, pois, que cuida estar em pé, olhe não caia</w:t>
      </w:r>
      <w:r w:rsidRPr="007827D0">
        <w:rPr>
          <w:lang w:val="pt-BR"/>
        </w:rPr>
        <w:t>.”</w:t>
      </w:r>
    </w:p>
    <w:p w14:paraId="569F8A3A" w14:textId="77777777" w:rsidR="007827D0" w:rsidRPr="007827D0" w:rsidRDefault="007827D0" w:rsidP="007827D0">
      <w:pPr>
        <w:jc w:val="center"/>
        <w:rPr>
          <w:lang w:val="pt-BR"/>
        </w:rPr>
      </w:pPr>
    </w:p>
    <w:p w14:paraId="14A66E97" w14:textId="77777777" w:rsidR="007827D0" w:rsidRPr="007827D0" w:rsidRDefault="007827D0" w:rsidP="007827D0">
      <w:pPr>
        <w:jc w:val="center"/>
        <w:rPr>
          <w:lang w:val="pt-BR"/>
        </w:rPr>
      </w:pPr>
      <w:r w:rsidRPr="007827D0">
        <w:rPr>
          <w:lang w:val="pt-BR"/>
        </w:rPr>
        <w:t>Provérbios 16:18</w:t>
      </w:r>
    </w:p>
    <w:p w14:paraId="5BD9981B" w14:textId="77777777" w:rsidR="007827D0" w:rsidRPr="007827D0" w:rsidRDefault="007827D0" w:rsidP="007827D0">
      <w:pPr>
        <w:jc w:val="center"/>
        <w:rPr>
          <w:lang w:val="pt-BR"/>
        </w:rPr>
      </w:pPr>
      <w:r w:rsidRPr="007827D0">
        <w:rPr>
          <w:lang w:val="pt-BR"/>
        </w:rPr>
        <w:t>“</w:t>
      </w:r>
      <w:r w:rsidRPr="007827D0">
        <w:rPr>
          <w:i/>
          <w:iCs/>
          <w:lang w:val="pt-BR"/>
        </w:rPr>
        <w:t>A soberba precede a ruína, e a altivez do espírito precede a queda</w:t>
      </w:r>
      <w:r w:rsidRPr="007827D0">
        <w:rPr>
          <w:lang w:val="pt-BR"/>
        </w:rPr>
        <w:t>.”</w:t>
      </w:r>
    </w:p>
    <w:p w14:paraId="3CD84DE7" w14:textId="77777777" w:rsidR="007827D0" w:rsidRPr="007827D0" w:rsidRDefault="007827D0" w:rsidP="007827D0">
      <w:pPr>
        <w:jc w:val="both"/>
        <w:rPr>
          <w:lang w:val="pt-BR"/>
        </w:rPr>
      </w:pPr>
    </w:p>
    <w:p w14:paraId="26502C30" w14:textId="77777777" w:rsidR="007827D0" w:rsidRPr="007827D0" w:rsidRDefault="007827D0" w:rsidP="007827D0">
      <w:pPr>
        <w:jc w:val="center"/>
        <w:rPr>
          <w:lang w:val="pt-BR"/>
        </w:rPr>
      </w:pPr>
      <w:r w:rsidRPr="007827D0">
        <w:rPr>
          <w:lang w:val="pt-BR"/>
        </w:rPr>
        <w:t>Jeremias 17:9</w:t>
      </w:r>
    </w:p>
    <w:p w14:paraId="007F0DDD" w14:textId="77777777" w:rsidR="007827D0" w:rsidRPr="007827D0" w:rsidRDefault="007827D0" w:rsidP="007827D0">
      <w:pPr>
        <w:jc w:val="center"/>
        <w:rPr>
          <w:lang w:val="pt-BR"/>
        </w:rPr>
      </w:pPr>
      <w:r w:rsidRPr="007827D0">
        <w:rPr>
          <w:lang w:val="pt-BR"/>
        </w:rPr>
        <w:t>“</w:t>
      </w:r>
      <w:r w:rsidRPr="007827D0">
        <w:rPr>
          <w:i/>
          <w:iCs/>
          <w:lang w:val="pt-BR"/>
        </w:rPr>
        <w:t>Enganoso é o coração, mais do que todas as coisas, e perverso; quem o conhecerá?</w:t>
      </w:r>
      <w:r w:rsidRPr="007827D0">
        <w:rPr>
          <w:lang w:val="pt-BR"/>
        </w:rPr>
        <w:t>”</w:t>
      </w:r>
    </w:p>
    <w:p w14:paraId="252ACFBF" w14:textId="29EB62E8" w:rsidR="007827D0" w:rsidRPr="007827D0" w:rsidRDefault="007827D0" w:rsidP="007827D0">
      <w:pPr>
        <w:jc w:val="both"/>
        <w:rPr>
          <w:lang w:val="pt-BR"/>
        </w:rPr>
      </w:pPr>
    </w:p>
    <w:p w14:paraId="15235EC7" w14:textId="66A95032" w:rsidR="007827D0" w:rsidRDefault="007827D0" w:rsidP="007827D0">
      <w:pPr>
        <w:jc w:val="both"/>
        <w:rPr>
          <w:lang w:val="pt-BR"/>
        </w:rPr>
      </w:pPr>
      <w:r>
        <w:rPr>
          <w:lang w:val="pt-BR"/>
        </w:rPr>
        <w:t>O calvinismo pode ser uma filosofia muito cruel, criando dúvidas acerca da salvação quando deveria haver paz, alegria e certeza da salvação.</w:t>
      </w:r>
    </w:p>
    <w:p w14:paraId="45A57050" w14:textId="77777777" w:rsidR="00530CD6" w:rsidRDefault="00530CD6" w:rsidP="007827D0">
      <w:pPr>
        <w:jc w:val="both"/>
        <w:rPr>
          <w:lang w:val="pt-BR"/>
        </w:rPr>
      </w:pPr>
    </w:p>
    <w:p w14:paraId="0790A672" w14:textId="19314F9B" w:rsidR="00530CD6" w:rsidRDefault="00530CD6" w:rsidP="007827D0">
      <w:pPr>
        <w:jc w:val="both"/>
        <w:rPr>
          <w:lang w:val="pt-BR"/>
        </w:rPr>
      </w:pPr>
      <w:r>
        <w:rPr>
          <w:lang w:val="pt-BR"/>
        </w:rPr>
        <w:t>Minha certeza é baseada nas promessas da Bíblia, não no meu comportamento.</w:t>
      </w:r>
    </w:p>
    <w:p w14:paraId="6EB1E232" w14:textId="77777777" w:rsidR="00530CD6" w:rsidRDefault="00530CD6" w:rsidP="007827D0">
      <w:pPr>
        <w:jc w:val="both"/>
        <w:rPr>
          <w:lang w:val="pt-BR"/>
        </w:rPr>
      </w:pPr>
    </w:p>
    <w:p w14:paraId="22D25B41" w14:textId="6C3315A3" w:rsidR="00530CD6" w:rsidRPr="00530CD6" w:rsidRDefault="00530CD6" w:rsidP="00787BA8">
      <w:pPr>
        <w:jc w:val="center"/>
        <w:rPr>
          <w:lang w:val="pt-BR"/>
        </w:rPr>
      </w:pPr>
      <w:r w:rsidRPr="00530CD6">
        <w:rPr>
          <w:lang w:val="pt-BR"/>
        </w:rPr>
        <w:t>Romanos 10:9–10</w:t>
      </w:r>
    </w:p>
    <w:p w14:paraId="22710881" w14:textId="5EF23D11" w:rsidR="00530CD6" w:rsidRPr="00530CD6" w:rsidRDefault="00530CD6" w:rsidP="00787BA8">
      <w:pPr>
        <w:jc w:val="center"/>
        <w:rPr>
          <w:lang w:val="pt-BR"/>
        </w:rPr>
      </w:pPr>
      <w:r w:rsidRPr="00530CD6">
        <w:rPr>
          <w:lang w:val="pt-BR"/>
        </w:rPr>
        <w:t>“</w:t>
      </w:r>
      <w:r w:rsidRPr="00530CD6">
        <w:rPr>
          <w:i/>
          <w:iCs/>
          <w:lang w:val="pt-BR"/>
        </w:rPr>
        <w:t>A saber: Se com a tua boca confessares ao Senhor Jesus, e em teu coração creres que Deus o ressuscitou dentre os mortos, serás salvo. Visto que com o coração se crê para a justiça, e com a boca se faz confissão para a salvação</w:t>
      </w:r>
      <w:r w:rsidRPr="00530CD6">
        <w:rPr>
          <w:lang w:val="pt-BR"/>
        </w:rPr>
        <w:t>.”</w:t>
      </w:r>
    </w:p>
    <w:p w14:paraId="655FEF83" w14:textId="77777777" w:rsidR="00530CD6" w:rsidRPr="00530CD6" w:rsidRDefault="00530CD6" w:rsidP="00787BA8">
      <w:pPr>
        <w:jc w:val="center"/>
        <w:rPr>
          <w:lang w:val="pt-BR"/>
        </w:rPr>
      </w:pPr>
    </w:p>
    <w:p w14:paraId="6CC6EF0A" w14:textId="593AE4D5" w:rsidR="00530CD6" w:rsidRPr="00530CD6" w:rsidRDefault="00530CD6" w:rsidP="00787BA8">
      <w:pPr>
        <w:jc w:val="center"/>
        <w:rPr>
          <w:lang w:val="pt-BR"/>
        </w:rPr>
      </w:pPr>
      <w:r w:rsidRPr="00530CD6">
        <w:rPr>
          <w:lang w:val="pt-BR"/>
        </w:rPr>
        <w:t>João 10:27–2</w:t>
      </w:r>
      <w:r w:rsidR="00787BA8">
        <w:rPr>
          <w:lang w:val="pt-BR"/>
        </w:rPr>
        <w:t>9</w:t>
      </w:r>
    </w:p>
    <w:p w14:paraId="567EDE89" w14:textId="29452B03" w:rsidR="00530CD6" w:rsidRPr="007827D0" w:rsidRDefault="00530CD6" w:rsidP="00787BA8">
      <w:pPr>
        <w:jc w:val="center"/>
        <w:rPr>
          <w:lang w:val="pt-BR"/>
        </w:rPr>
      </w:pPr>
      <w:r w:rsidRPr="00530CD6">
        <w:rPr>
          <w:lang w:val="pt-BR"/>
        </w:rPr>
        <w:t>“</w:t>
      </w:r>
      <w:r w:rsidRPr="00787BA8">
        <w:rPr>
          <w:i/>
          <w:iCs/>
          <w:lang w:val="pt-BR"/>
        </w:rPr>
        <w:t>As minhas ovelhas ouvem a minha voz, e eu conheço-as, e elas me seguem; E dou-lhes a vida eterna, e nunca hão de perecer, e ninguém as arrebatará da minha mão.</w:t>
      </w:r>
      <w:r w:rsidR="00787BA8" w:rsidRPr="00787BA8">
        <w:rPr>
          <w:i/>
          <w:iCs/>
          <w:lang w:val="pt-BR"/>
        </w:rPr>
        <w:t xml:space="preserve"> Meu Pai, que mas deu, é maior do que todos; e ninguém pode arrebatá-las da mão de meu Pai</w:t>
      </w:r>
      <w:r w:rsidR="00787BA8" w:rsidRPr="00787BA8">
        <w:rPr>
          <w:lang w:val="pt-BR"/>
        </w:rPr>
        <w:t>.”</w:t>
      </w:r>
    </w:p>
    <w:p w14:paraId="08F7A926" w14:textId="77777777" w:rsidR="007827D0" w:rsidRPr="007827D0" w:rsidRDefault="007827D0" w:rsidP="007827D0">
      <w:pPr>
        <w:jc w:val="both"/>
        <w:rPr>
          <w:lang w:val="pt-BR"/>
        </w:rPr>
      </w:pPr>
    </w:p>
    <w:p w14:paraId="67333F6D" w14:textId="27D770C8" w:rsidR="007827D0" w:rsidRPr="007827D0" w:rsidRDefault="00787BA8" w:rsidP="007827D0">
      <w:pPr>
        <w:jc w:val="both"/>
        <w:rPr>
          <w:lang w:val="pt-BR"/>
        </w:rPr>
      </w:pPr>
      <w:r>
        <w:rPr>
          <w:lang w:val="pt-BR"/>
        </w:rPr>
        <w:t xml:space="preserve"> </w:t>
      </w:r>
    </w:p>
    <w:sectPr w:rsidR="007827D0" w:rsidRPr="007827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688CE" w14:textId="77777777" w:rsidR="0016655A" w:rsidRDefault="0016655A" w:rsidP="00EB62B4">
      <w:r>
        <w:separator/>
      </w:r>
    </w:p>
  </w:endnote>
  <w:endnote w:type="continuationSeparator" w:id="0">
    <w:p w14:paraId="175C46AB" w14:textId="77777777" w:rsidR="0016655A" w:rsidRDefault="0016655A" w:rsidP="00EB6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BE7483" w14:textId="77777777" w:rsidR="0016655A" w:rsidRDefault="0016655A" w:rsidP="00EB62B4">
      <w:r>
        <w:separator/>
      </w:r>
    </w:p>
  </w:footnote>
  <w:footnote w:type="continuationSeparator" w:id="0">
    <w:p w14:paraId="1C0251FC" w14:textId="77777777" w:rsidR="0016655A" w:rsidRDefault="0016655A" w:rsidP="00EB62B4">
      <w:r>
        <w:continuationSeparator/>
      </w:r>
    </w:p>
  </w:footnote>
  <w:footnote w:id="1">
    <w:p w14:paraId="5A70EB81" w14:textId="0ECA3687" w:rsidR="00EB62B4" w:rsidRDefault="00EB62B4">
      <w:pPr>
        <w:pStyle w:val="Textodenotaderodap"/>
      </w:pPr>
      <w:r>
        <w:rPr>
          <w:rStyle w:val="Refdenotaderodap"/>
        </w:rPr>
        <w:footnoteRef/>
      </w:r>
      <w:r>
        <w:t xml:space="preserve"> </w:t>
      </w:r>
      <w:r w:rsidRPr="00EB62B4">
        <w:t>João Calvino, Concerning the Eternal Predestination of God, trad. J. K. S. Reid (Philadelphia: Westminster Press, 1961), p. 126.</w:t>
      </w:r>
    </w:p>
  </w:footnote>
  <w:footnote w:id="2">
    <w:p w14:paraId="6AC26F40" w14:textId="3899071C" w:rsidR="00495C91" w:rsidRDefault="00495C91">
      <w:pPr>
        <w:pStyle w:val="Textodenotaderodap"/>
      </w:pPr>
      <w:r>
        <w:rPr>
          <w:rStyle w:val="Refdenotaderodap"/>
        </w:rPr>
        <w:footnoteRef/>
      </w:r>
      <w:r>
        <w:t xml:space="preserve"> </w:t>
      </w:r>
      <w:r w:rsidRPr="004E72B4">
        <w:t>Calvino, Concerning the Eternal Predestination of God, p. 66.</w:t>
      </w:r>
    </w:p>
  </w:footnote>
  <w:footnote w:id="3">
    <w:p w14:paraId="3A76AD91" w14:textId="4DB8E458" w:rsidR="00495C91" w:rsidRDefault="00495C91">
      <w:pPr>
        <w:pStyle w:val="Textodenotaderodap"/>
      </w:pPr>
      <w:r>
        <w:rPr>
          <w:rStyle w:val="Refdenotaderodap"/>
        </w:rPr>
        <w:footnoteRef/>
      </w:r>
      <w:r>
        <w:t xml:space="preserve"> </w:t>
      </w:r>
      <w:r w:rsidRPr="00495C91">
        <w:t>R. C. Sproul, Grace Unknown: The Heart of Reformed Theology (Grand Rapids: Baker Books, 2000), pp. 204–205.</w:t>
      </w:r>
    </w:p>
  </w:footnote>
  <w:footnote w:id="4">
    <w:p w14:paraId="49BC4671" w14:textId="52FEE48F" w:rsidR="00495C91" w:rsidRDefault="00495C91">
      <w:pPr>
        <w:pStyle w:val="Textodenotaderodap"/>
      </w:pPr>
      <w:r>
        <w:rPr>
          <w:rStyle w:val="Refdenotaderodap"/>
        </w:rPr>
        <w:footnoteRef/>
      </w:r>
      <w:r>
        <w:t xml:space="preserve"> </w:t>
      </w:r>
      <w:r w:rsidRPr="00495C91">
        <w:t>Ibid - Sproul, Grace Unknown, pp. 207–209.</w:t>
      </w:r>
    </w:p>
  </w:footnote>
  <w:footnote w:id="5">
    <w:p w14:paraId="514D1D3F" w14:textId="2A44FC77" w:rsidR="00791002" w:rsidRDefault="00791002">
      <w:pPr>
        <w:pStyle w:val="Textodenotaderodap"/>
      </w:pPr>
      <w:r>
        <w:rPr>
          <w:rStyle w:val="Refdenotaderodap"/>
        </w:rPr>
        <w:footnoteRef/>
      </w:r>
      <w:r>
        <w:t xml:space="preserve"> </w:t>
      </w:r>
      <w:proofErr w:type="spellStart"/>
      <w:r w:rsidRPr="004E72B4">
        <w:t>Citado</w:t>
      </w:r>
      <w:proofErr w:type="spellEnd"/>
      <w:r w:rsidRPr="004E72B4">
        <w:t xml:space="preserve"> por Michael Eaton, No Condemnation: A New Theology of Assurance (2010), p. 164.</w:t>
      </w:r>
    </w:p>
  </w:footnote>
  <w:footnote w:id="6">
    <w:p w14:paraId="08F96386" w14:textId="157D5CF9" w:rsidR="00791002" w:rsidRDefault="00791002" w:rsidP="00530CD6">
      <w:pPr>
        <w:jc w:val="both"/>
      </w:pPr>
      <w:r>
        <w:rPr>
          <w:rStyle w:val="Refdenotaderodap"/>
        </w:rPr>
        <w:footnoteRef/>
      </w:r>
      <w:r>
        <w:t xml:space="preserve"> </w:t>
      </w:r>
      <w:r w:rsidRPr="004E72B4">
        <w:t>Wayne Grudem, Systematic Theology (Grand Rapids: Zondervan, 1994), p. 860.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DBB"/>
    <w:rsid w:val="00067E35"/>
    <w:rsid w:val="0016655A"/>
    <w:rsid w:val="001C5544"/>
    <w:rsid w:val="00230465"/>
    <w:rsid w:val="0025002A"/>
    <w:rsid w:val="00271EBC"/>
    <w:rsid w:val="002F6A2B"/>
    <w:rsid w:val="00495C91"/>
    <w:rsid w:val="004E72B4"/>
    <w:rsid w:val="00512F3B"/>
    <w:rsid w:val="00530CD6"/>
    <w:rsid w:val="005A408E"/>
    <w:rsid w:val="006A7E5A"/>
    <w:rsid w:val="007827D0"/>
    <w:rsid w:val="00787BA8"/>
    <w:rsid w:val="00791002"/>
    <w:rsid w:val="007A6DBB"/>
    <w:rsid w:val="007D1AD4"/>
    <w:rsid w:val="009161E2"/>
    <w:rsid w:val="009D6203"/>
    <w:rsid w:val="00B14637"/>
    <w:rsid w:val="00BC0070"/>
    <w:rsid w:val="00BE0BF5"/>
    <w:rsid w:val="00D620DA"/>
    <w:rsid w:val="00D7673D"/>
    <w:rsid w:val="00DA3725"/>
    <w:rsid w:val="00EB62B4"/>
    <w:rsid w:val="00ED3113"/>
    <w:rsid w:val="00F0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450AF"/>
  <w15:chartTrackingRefBased/>
  <w15:docId w15:val="{BBEC111A-A78F-4EB7-8013-002B41C2B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7A6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7A6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7A6DB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7A6DB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7A6DB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7A6DB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A6DB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A6DB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A6DBB"/>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A6DBB"/>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7A6DBB"/>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7A6DBB"/>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7A6DBB"/>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7A6DBB"/>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7A6DBB"/>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A6DBB"/>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A6DBB"/>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A6DBB"/>
    <w:rPr>
      <w:rFonts w:eastAsiaTheme="majorEastAsia" w:cstheme="majorBidi"/>
      <w:color w:val="272727" w:themeColor="text1" w:themeTint="D8"/>
    </w:rPr>
  </w:style>
  <w:style w:type="paragraph" w:styleId="Ttulo">
    <w:name w:val="Title"/>
    <w:basedOn w:val="Normal"/>
    <w:next w:val="Normal"/>
    <w:link w:val="TtuloChar"/>
    <w:uiPriority w:val="10"/>
    <w:qFormat/>
    <w:rsid w:val="007A6DBB"/>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A6DB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A6DBB"/>
    <w:pPr>
      <w:numPr>
        <w:ilvl w:val="1"/>
      </w:numPr>
      <w:spacing w:after="160"/>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A6DBB"/>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A6DBB"/>
    <w:pPr>
      <w:spacing w:before="160" w:after="160"/>
      <w:jc w:val="center"/>
    </w:pPr>
    <w:rPr>
      <w:i/>
      <w:iCs/>
      <w:color w:val="404040" w:themeColor="text1" w:themeTint="BF"/>
    </w:rPr>
  </w:style>
  <w:style w:type="character" w:customStyle="1" w:styleId="CitaoChar">
    <w:name w:val="Citação Char"/>
    <w:basedOn w:val="Fontepargpadro"/>
    <w:link w:val="Citao"/>
    <w:uiPriority w:val="29"/>
    <w:rsid w:val="007A6DBB"/>
    <w:rPr>
      <w:i/>
      <w:iCs/>
      <w:color w:val="404040" w:themeColor="text1" w:themeTint="BF"/>
    </w:rPr>
  </w:style>
  <w:style w:type="paragraph" w:styleId="PargrafodaLista">
    <w:name w:val="List Paragraph"/>
    <w:basedOn w:val="Normal"/>
    <w:uiPriority w:val="34"/>
    <w:qFormat/>
    <w:rsid w:val="007A6DBB"/>
    <w:pPr>
      <w:ind w:left="720"/>
      <w:contextualSpacing/>
    </w:pPr>
  </w:style>
  <w:style w:type="character" w:styleId="nfaseIntensa">
    <w:name w:val="Intense Emphasis"/>
    <w:basedOn w:val="Fontepargpadro"/>
    <w:uiPriority w:val="21"/>
    <w:qFormat/>
    <w:rsid w:val="007A6DBB"/>
    <w:rPr>
      <w:i/>
      <w:iCs/>
      <w:color w:val="0F4761" w:themeColor="accent1" w:themeShade="BF"/>
    </w:rPr>
  </w:style>
  <w:style w:type="paragraph" w:styleId="CitaoIntensa">
    <w:name w:val="Intense Quote"/>
    <w:basedOn w:val="Normal"/>
    <w:next w:val="Normal"/>
    <w:link w:val="CitaoIntensaChar"/>
    <w:uiPriority w:val="30"/>
    <w:qFormat/>
    <w:rsid w:val="007A6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7A6DBB"/>
    <w:rPr>
      <w:i/>
      <w:iCs/>
      <w:color w:val="0F4761" w:themeColor="accent1" w:themeShade="BF"/>
    </w:rPr>
  </w:style>
  <w:style w:type="character" w:styleId="RefernciaIntensa">
    <w:name w:val="Intense Reference"/>
    <w:basedOn w:val="Fontepargpadro"/>
    <w:uiPriority w:val="32"/>
    <w:qFormat/>
    <w:rsid w:val="007A6DBB"/>
    <w:rPr>
      <w:b/>
      <w:bCs/>
      <w:smallCaps/>
      <w:color w:val="0F4761" w:themeColor="accent1" w:themeShade="BF"/>
      <w:spacing w:val="5"/>
    </w:rPr>
  </w:style>
  <w:style w:type="paragraph" w:styleId="Textodenotaderodap">
    <w:name w:val="footnote text"/>
    <w:basedOn w:val="Normal"/>
    <w:link w:val="TextodenotaderodapChar"/>
    <w:uiPriority w:val="99"/>
    <w:semiHidden/>
    <w:unhideWhenUsed/>
    <w:rsid w:val="00EB62B4"/>
    <w:rPr>
      <w:sz w:val="20"/>
      <w:szCs w:val="20"/>
    </w:rPr>
  </w:style>
  <w:style w:type="character" w:customStyle="1" w:styleId="TextodenotaderodapChar">
    <w:name w:val="Texto de nota de rodapé Char"/>
    <w:basedOn w:val="Fontepargpadro"/>
    <w:link w:val="Textodenotaderodap"/>
    <w:uiPriority w:val="99"/>
    <w:semiHidden/>
    <w:rsid w:val="00EB62B4"/>
    <w:rPr>
      <w:sz w:val="20"/>
      <w:szCs w:val="20"/>
    </w:rPr>
  </w:style>
  <w:style w:type="character" w:styleId="Refdenotaderodap">
    <w:name w:val="footnote reference"/>
    <w:basedOn w:val="Fontepargpadro"/>
    <w:uiPriority w:val="99"/>
    <w:semiHidden/>
    <w:unhideWhenUsed/>
    <w:rsid w:val="00EB62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68AF3-9E5D-4634-B748-E869EA7E6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1172</TotalTime>
  <Pages>4</Pages>
  <Words>1189</Words>
  <Characters>6422</Characters>
  <Application>Microsoft Office Word</Application>
  <DocSecurity>0</DocSecurity>
  <Lines>53</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Johnson</dc:creator>
  <cp:keywords/>
  <dc:description/>
  <cp:lastModifiedBy>taubatecomputadores@outlook.com</cp:lastModifiedBy>
  <cp:revision>3</cp:revision>
  <dcterms:created xsi:type="dcterms:W3CDTF">2026-08-26T20:28:00Z</dcterms:created>
  <dcterms:modified xsi:type="dcterms:W3CDTF">2026-09-30T13:39:00Z</dcterms:modified>
</cp:coreProperties>
</file>